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4B892" w14:textId="77777777" w:rsidR="00EA60C5" w:rsidRPr="00C8068F" w:rsidRDefault="00EA60C5" w:rsidP="00EA60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C8068F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UZASADNIENIE</w:t>
      </w:r>
    </w:p>
    <w:p w14:paraId="43297B33" w14:textId="77777777" w:rsidR="00EA60C5" w:rsidRPr="00C8068F" w:rsidRDefault="00EA60C5" w:rsidP="00EA60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068F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DO </w:t>
      </w:r>
      <w:r w:rsidRPr="00C8068F">
        <w:rPr>
          <w:rFonts w:ascii="Times New Roman" w:hAnsi="Times New Roman" w:cs="Times New Roman"/>
          <w:b/>
          <w:bCs/>
          <w:sz w:val="20"/>
          <w:szCs w:val="20"/>
        </w:rPr>
        <w:t>UCHWAŁY NR ....................</w:t>
      </w:r>
    </w:p>
    <w:p w14:paraId="29683C47" w14:textId="59B26D89" w:rsidR="00EA60C5" w:rsidRPr="00C8068F" w:rsidRDefault="00EA60C5" w:rsidP="00EA60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068F">
        <w:rPr>
          <w:rFonts w:ascii="Times New Roman" w:hAnsi="Times New Roman" w:cs="Times New Roman"/>
          <w:b/>
          <w:bCs/>
          <w:sz w:val="20"/>
          <w:szCs w:val="20"/>
        </w:rPr>
        <w:t xml:space="preserve">RADY </w:t>
      </w:r>
      <w:r w:rsidR="00C8068F">
        <w:rPr>
          <w:rFonts w:ascii="Times New Roman" w:hAnsi="Times New Roman" w:cs="Times New Roman"/>
          <w:b/>
          <w:bCs/>
          <w:sz w:val="20"/>
          <w:szCs w:val="20"/>
        </w:rPr>
        <w:t>GMINY DĄBROWA CHEŁMIŃSKA</w:t>
      </w:r>
    </w:p>
    <w:p w14:paraId="1EDD4716" w14:textId="77777777" w:rsidR="00EA60C5" w:rsidRPr="00C8068F" w:rsidRDefault="00EA60C5" w:rsidP="00EA60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068F">
        <w:rPr>
          <w:rFonts w:ascii="Times New Roman" w:hAnsi="Times New Roman" w:cs="Times New Roman"/>
          <w:b/>
          <w:bCs/>
          <w:sz w:val="20"/>
          <w:szCs w:val="20"/>
        </w:rPr>
        <w:t>Z DNIA .....................................</w:t>
      </w:r>
    </w:p>
    <w:p w14:paraId="7C356B6D" w14:textId="45A05583" w:rsidR="00C8068F" w:rsidRPr="009C09BF" w:rsidRDefault="00C8068F" w:rsidP="00C8068F">
      <w:pPr>
        <w:pStyle w:val="Tekstpodstawowy"/>
        <w:suppressAutoHyphens/>
        <w:rPr>
          <w:b/>
          <w:bCs/>
        </w:rPr>
      </w:pPr>
      <w:r w:rsidRPr="009C09BF">
        <w:rPr>
          <w:b/>
          <w:bCs/>
        </w:rPr>
        <w:t xml:space="preserve">w sprawie </w:t>
      </w:r>
      <w:r w:rsidR="00880767" w:rsidRPr="00374384">
        <w:rPr>
          <w:b/>
        </w:rPr>
        <w:t xml:space="preserve">miejscowego planu zagospodarowania przestrzennego </w:t>
      </w:r>
      <w:r w:rsidR="00880767" w:rsidRPr="007522DC">
        <w:rPr>
          <w:b/>
        </w:rPr>
        <w:t xml:space="preserve">terenu części wsi Dąbrowa Chełmińska Nr </w:t>
      </w:r>
      <w:r w:rsidR="008A5A2C">
        <w:rPr>
          <w:b/>
        </w:rPr>
        <w:t>8</w:t>
      </w:r>
      <w:r w:rsidRPr="009C09BF">
        <w:rPr>
          <w:b/>
          <w:bCs/>
        </w:rPr>
        <w:t>.</w:t>
      </w:r>
    </w:p>
    <w:p w14:paraId="2A6994DF" w14:textId="77777777" w:rsidR="00EA60C5" w:rsidRPr="00C8068F" w:rsidRDefault="00EA60C5" w:rsidP="00EA60C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2F80FF69" w14:textId="77777777" w:rsidR="00EA60C5" w:rsidRPr="00C8068F" w:rsidRDefault="00EA60C5" w:rsidP="00EA60C5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FFFFF" w:themeFill="background1"/>
        <w:spacing w:before="0" w:after="240"/>
        <w:rPr>
          <w:rFonts w:ascii="Times New Roman" w:hAnsi="Times New Roman" w:cs="Times New Roman"/>
          <w:color w:val="auto"/>
          <w:sz w:val="20"/>
          <w:szCs w:val="20"/>
        </w:rPr>
      </w:pPr>
      <w:r w:rsidRPr="00C8068F">
        <w:rPr>
          <w:rFonts w:ascii="Times New Roman" w:hAnsi="Times New Roman" w:cs="Times New Roman"/>
          <w:color w:val="auto"/>
          <w:sz w:val="20"/>
          <w:szCs w:val="20"/>
        </w:rPr>
        <w:t>Podstawa prawna</w:t>
      </w:r>
    </w:p>
    <w:p w14:paraId="02D3352B" w14:textId="57D93654" w:rsidR="00EA60C5" w:rsidRPr="00C8068F" w:rsidRDefault="00EA60C5" w:rsidP="00EA60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Art. 15, ust. 1 ustawy z dnia 27 marca 2003 r. o planowaniu i zagospodarowaniu przestrzennym (Dz. U. </w:t>
      </w:r>
      <w:r w:rsidR="00C8068F">
        <w:rPr>
          <w:rFonts w:ascii="Times New Roman" w:hAnsi="Times New Roman" w:cs="Times New Roman"/>
          <w:sz w:val="20"/>
          <w:szCs w:val="20"/>
        </w:rPr>
        <w:t xml:space="preserve">z </w:t>
      </w:r>
      <w:r w:rsidRPr="00C8068F">
        <w:rPr>
          <w:rFonts w:ascii="Times New Roman" w:hAnsi="Times New Roman" w:cs="Times New Roman"/>
          <w:sz w:val="20"/>
          <w:szCs w:val="20"/>
        </w:rPr>
        <w:t>202</w:t>
      </w:r>
      <w:r w:rsidR="008A5A2C">
        <w:rPr>
          <w:rFonts w:ascii="Times New Roman" w:hAnsi="Times New Roman" w:cs="Times New Roman"/>
          <w:sz w:val="20"/>
          <w:szCs w:val="20"/>
        </w:rPr>
        <w:t>3</w:t>
      </w:r>
      <w:r w:rsidRPr="00C8068F">
        <w:rPr>
          <w:rFonts w:ascii="Times New Roman" w:hAnsi="Times New Roman" w:cs="Times New Roman"/>
          <w:sz w:val="20"/>
          <w:szCs w:val="20"/>
        </w:rPr>
        <w:t xml:space="preserve"> r. poz. </w:t>
      </w:r>
      <w:r w:rsidR="008A5A2C">
        <w:rPr>
          <w:rFonts w:ascii="Times New Roman" w:hAnsi="Times New Roman" w:cs="Times New Roman"/>
          <w:sz w:val="20"/>
          <w:szCs w:val="20"/>
        </w:rPr>
        <w:t>977</w:t>
      </w:r>
      <w:r w:rsidRPr="00C8068F">
        <w:rPr>
          <w:rFonts w:ascii="Times New Roman" w:hAnsi="Times New Roman" w:cs="Times New Roman"/>
          <w:sz w:val="20"/>
          <w:szCs w:val="20"/>
        </w:rPr>
        <w:t>) tj.: „Wójt, burmistrz albo prezydent miasta sporządza projekt planu miejscowego, zawierający część tekstową i graficzną, zgodnie z zapisami studium oraz z przepisami odrębnymi, odnoszącymi się do obszaru objętego planem, wraz z uzasadnieniem.  W uzasadnieniu przedstawia się w szczególności:</w:t>
      </w:r>
    </w:p>
    <w:p w14:paraId="7BAB53D0" w14:textId="77777777" w:rsidR="00EA60C5" w:rsidRPr="00C8068F" w:rsidRDefault="00EA60C5" w:rsidP="00EA60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1) sposób realizacji wymogów wynikających z art. 1 ust. 2-4;</w:t>
      </w:r>
    </w:p>
    <w:p w14:paraId="76BB3E4F" w14:textId="77777777" w:rsidR="00EA60C5" w:rsidRPr="00C8068F" w:rsidRDefault="00EA60C5" w:rsidP="00EA60C5">
      <w:pPr>
        <w:spacing w:after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2) zgodność z wynikami analizy, o której mowa w art. 32 ust. 1, wraz datą uchwały rady gminy, </w:t>
      </w:r>
      <w:r w:rsidRPr="00C8068F">
        <w:rPr>
          <w:rFonts w:ascii="Times New Roman" w:hAnsi="Times New Roman" w:cs="Times New Roman"/>
          <w:sz w:val="20"/>
          <w:szCs w:val="20"/>
        </w:rPr>
        <w:br/>
        <w:t>o której mowa w art. 32 ust. 2;</w:t>
      </w:r>
    </w:p>
    <w:p w14:paraId="08525543" w14:textId="77777777" w:rsidR="00EA60C5" w:rsidRPr="00C8068F" w:rsidRDefault="00EA60C5" w:rsidP="00EA60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3) wpływ na finanse publiczne, w tym budżet gminy.”</w:t>
      </w:r>
    </w:p>
    <w:p w14:paraId="599DA8DB" w14:textId="77777777" w:rsidR="00EA60C5" w:rsidRPr="00C8068F" w:rsidRDefault="00EA60C5" w:rsidP="00EA60C5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063B845" w14:textId="77777777" w:rsidR="00EA60C5" w:rsidRPr="00C8068F" w:rsidRDefault="00EA60C5" w:rsidP="00EA60C5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FFFFF" w:themeFill="background1"/>
        <w:spacing w:before="0" w:after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8068F">
        <w:rPr>
          <w:rFonts w:ascii="Times New Roman" w:hAnsi="Times New Roman" w:cs="Times New Roman"/>
          <w:color w:val="auto"/>
          <w:sz w:val="20"/>
          <w:szCs w:val="20"/>
        </w:rPr>
        <w:t xml:space="preserve">Wstęp </w:t>
      </w:r>
    </w:p>
    <w:p w14:paraId="5CA0F952" w14:textId="4BD932C8" w:rsidR="00EA60C5" w:rsidRPr="00C8068F" w:rsidRDefault="00EA60C5" w:rsidP="00EA60C5">
      <w:pPr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Niniejsze uzasadnienie dotyczy rozwiązań przyjętych w miejscowym planie </w:t>
      </w:r>
      <w:r w:rsidR="00880767" w:rsidRPr="00880767">
        <w:rPr>
          <w:rFonts w:ascii="Times New Roman" w:hAnsi="Times New Roman" w:cs="Times New Roman"/>
          <w:sz w:val="20"/>
          <w:szCs w:val="20"/>
        </w:rPr>
        <w:t xml:space="preserve">zagospodarowania przestrzennego terenu części wsi Dąbrowa Chełmińska Nr </w:t>
      </w:r>
      <w:r w:rsidR="008A5A2C">
        <w:rPr>
          <w:rFonts w:ascii="Times New Roman" w:hAnsi="Times New Roman" w:cs="Times New Roman"/>
          <w:sz w:val="20"/>
          <w:szCs w:val="20"/>
        </w:rPr>
        <w:t>8</w:t>
      </w:r>
      <w:r w:rsidRPr="00C8068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8998DB" w14:textId="77777777" w:rsidR="00EA60C5" w:rsidRPr="00C8068F" w:rsidRDefault="00EA60C5" w:rsidP="00EA60C5">
      <w:pPr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Celem sporządzenia miejscowego planu zagospodarowania przestrzennego jest ustalenie zasad zagospodarowania terenu wraz z obsługą komunikacyjną.</w:t>
      </w:r>
    </w:p>
    <w:p w14:paraId="07B9C9C7" w14:textId="55178A87" w:rsidR="00EA60C5" w:rsidRPr="00C8068F" w:rsidRDefault="00EA60C5" w:rsidP="00EA60C5">
      <w:pPr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Plan nie narusza </w:t>
      </w:r>
      <w:r w:rsidR="00C8068F" w:rsidRPr="00C8068F">
        <w:rPr>
          <w:rFonts w:ascii="Times New Roman" w:hAnsi="Times New Roman" w:cs="Times New Roman"/>
          <w:sz w:val="20"/>
          <w:szCs w:val="20"/>
        </w:rPr>
        <w:t>Studium uwarunkowań i kierunków zagospodarowania przestrzennego gminy Dąbrowa Chełmińska, uchwalonego uchwałą Nr XXX.256.2017 Rady Gminy Dąbrowa Chełmińska z dnia 25 maja 2017 r.</w:t>
      </w:r>
      <w:r w:rsidR="008A5A2C">
        <w:rPr>
          <w:rFonts w:ascii="Times New Roman" w:hAnsi="Times New Roman" w:cs="Times New Roman"/>
          <w:sz w:val="20"/>
          <w:szCs w:val="20"/>
        </w:rPr>
        <w:t xml:space="preserve"> </w:t>
      </w:r>
      <w:r w:rsidR="008A5A2C" w:rsidRPr="008A5A2C">
        <w:rPr>
          <w:rFonts w:ascii="Times New Roman" w:hAnsi="Times New Roman" w:cs="Times New Roman"/>
          <w:sz w:val="20"/>
          <w:szCs w:val="20"/>
        </w:rPr>
        <w:t xml:space="preserve">wraz ze zmianą uchwaloną uchwałą Nr LII.472.2022 Rady Gminy Dąbrowa Chełmińska z dnia 30 grudnia </w:t>
      </w:r>
      <w:r w:rsidR="008A5A2C">
        <w:rPr>
          <w:rFonts w:ascii="Times New Roman" w:hAnsi="Times New Roman" w:cs="Times New Roman"/>
          <w:sz w:val="20"/>
          <w:szCs w:val="20"/>
        </w:rPr>
        <w:br/>
      </w:r>
      <w:r w:rsidR="008A5A2C" w:rsidRPr="008A5A2C">
        <w:rPr>
          <w:rFonts w:ascii="Times New Roman" w:hAnsi="Times New Roman" w:cs="Times New Roman"/>
          <w:sz w:val="20"/>
          <w:szCs w:val="20"/>
        </w:rPr>
        <w:t>2022 r.</w:t>
      </w:r>
    </w:p>
    <w:p w14:paraId="7D7E7DF4" w14:textId="7D15A18F" w:rsidR="00EA60C5" w:rsidRPr="00C8068F" w:rsidRDefault="00EA60C5" w:rsidP="00EA60C5">
      <w:pPr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Granice terenu objętego planem wskazano w Uchwale </w:t>
      </w:r>
      <w:r w:rsidR="008A5A2C" w:rsidRPr="008A5A2C">
        <w:rPr>
          <w:rFonts w:ascii="Times New Roman" w:hAnsi="Times New Roman" w:cs="Times New Roman"/>
          <w:sz w:val="20"/>
          <w:szCs w:val="20"/>
        </w:rPr>
        <w:t>Nr XLI.386.2022 Rady Gminy Dąbrowa Chełmińska z dnia 31 marca 2022 r. w sprawie przystąpienia do sporządzenia miejscowego planu zagospodarowania przestrzennego terenu części wsi Dąbrowa Chełmińska Nr 8</w:t>
      </w:r>
      <w:r w:rsidRPr="00C8068F">
        <w:rPr>
          <w:rFonts w:ascii="Times New Roman" w:hAnsi="Times New Roman" w:cs="Times New Roman"/>
          <w:sz w:val="20"/>
          <w:szCs w:val="20"/>
        </w:rPr>
        <w:t>.</w:t>
      </w:r>
    </w:p>
    <w:p w14:paraId="78B2EF5A" w14:textId="77777777" w:rsidR="00EA60C5" w:rsidRPr="00C8068F" w:rsidRDefault="00EA60C5" w:rsidP="00EA60C5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FFFFF" w:themeFill="background1"/>
        <w:spacing w:before="0" w:after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8068F">
        <w:rPr>
          <w:rFonts w:ascii="Times New Roman" w:hAnsi="Times New Roman" w:cs="Times New Roman"/>
          <w:color w:val="auto"/>
          <w:sz w:val="20"/>
          <w:szCs w:val="20"/>
        </w:rPr>
        <w:t>Sposób realizacji wymogów wynikających z art. 1 ust. 2–4 ustawy o planowaniu i zagospodarowaniu przestrzennym</w:t>
      </w:r>
    </w:p>
    <w:p w14:paraId="03953753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1 Wymagania ładu przestrzennego, w tym urbanistyki i architektury.</w:t>
      </w:r>
    </w:p>
    <w:p w14:paraId="0E7826B9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Uwzględniono poprzez ustalenie zasad ochrony i kształtowania ładu przestrzennego i parametrów i wskaźników zabudowy oraz zagospodarowania terenu.</w:t>
      </w:r>
    </w:p>
    <w:p w14:paraId="32724A32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5952279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2 Walory architektoniczne i krajobrazowe.</w:t>
      </w:r>
    </w:p>
    <w:p w14:paraId="255872A5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Uwzględniono poprzez ustalenie zasad ochrony i kształtowania ładu przestrzennego, zasad ochrony dziedzictwa kulturowego i zabytków w tym krajobrazów kulturowych oraz dóbr kultury współczesnej a także parametrów i wskaźników zabudowy oraz zagospodarowania terenu.</w:t>
      </w:r>
    </w:p>
    <w:p w14:paraId="4D32F2FE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36A0C5F4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3 Wymagania  ochrony  środowiska,  w tym  gospodarowania  wodami  i ochrony gruntów rolnych i leśnych.</w:t>
      </w:r>
    </w:p>
    <w:p w14:paraId="50D6E6A6" w14:textId="37D388C6" w:rsidR="00EA60C5" w:rsidRDefault="00EA60C5" w:rsidP="003F684A">
      <w:pPr>
        <w:pStyle w:val="Akapitzlist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Uwzględniono poprzez ustalenie zasad ochrony środowiska, przyrody i krajobrazu oraz kształtowania krajobrazu oraz zasad modernizacji, rozbudowy i budowy systemów komunikacji i infrastruktury technicznej. Zgodnie z ustawą z dnia 3 lutego 1995 r. o ochronie gruntów rolnych i leśnych (tekst jednolity: Dz. U. z 20</w:t>
      </w:r>
      <w:r w:rsidR="00880767">
        <w:rPr>
          <w:rFonts w:ascii="Times New Roman" w:hAnsi="Times New Roman" w:cs="Times New Roman"/>
          <w:sz w:val="20"/>
          <w:szCs w:val="20"/>
        </w:rPr>
        <w:t>2</w:t>
      </w:r>
      <w:r w:rsidR="008A5A2C">
        <w:rPr>
          <w:rFonts w:ascii="Times New Roman" w:hAnsi="Times New Roman" w:cs="Times New Roman"/>
          <w:sz w:val="20"/>
          <w:szCs w:val="20"/>
        </w:rPr>
        <w:t>2</w:t>
      </w:r>
      <w:r w:rsidRPr="00C8068F">
        <w:rPr>
          <w:rFonts w:ascii="Times New Roman" w:hAnsi="Times New Roman" w:cs="Times New Roman"/>
          <w:sz w:val="20"/>
          <w:szCs w:val="20"/>
        </w:rPr>
        <w:t xml:space="preserve"> r., poz. </w:t>
      </w:r>
      <w:r w:rsidR="008A5A2C">
        <w:rPr>
          <w:rFonts w:ascii="Times New Roman" w:hAnsi="Times New Roman" w:cs="Times New Roman"/>
          <w:sz w:val="20"/>
          <w:szCs w:val="20"/>
        </w:rPr>
        <w:t>2409</w:t>
      </w:r>
      <w:r w:rsidRPr="00C8068F">
        <w:rPr>
          <w:rFonts w:ascii="Times New Roman" w:hAnsi="Times New Roman" w:cs="Times New Roman"/>
          <w:sz w:val="20"/>
          <w:szCs w:val="20"/>
        </w:rPr>
        <w:t xml:space="preserve">) teren nie wymaga uzyskania zgody na zmianę przeznaczenia </w:t>
      </w:r>
      <w:r w:rsidRPr="00C8068F">
        <w:rPr>
          <w:rFonts w:ascii="Times New Roman" w:hAnsi="Times New Roman" w:cs="Times New Roman"/>
          <w:sz w:val="20"/>
          <w:szCs w:val="20"/>
        </w:rPr>
        <w:lastRenderedPageBreak/>
        <w:t>gruntów rolnych na cele nierolnicze</w:t>
      </w:r>
      <w:r w:rsidR="00880767">
        <w:rPr>
          <w:rFonts w:ascii="Times New Roman" w:hAnsi="Times New Roman" w:cs="Times New Roman"/>
          <w:sz w:val="20"/>
          <w:szCs w:val="20"/>
        </w:rPr>
        <w:t xml:space="preserve"> oraz zgody</w:t>
      </w:r>
      <w:r w:rsidR="00C8068F">
        <w:rPr>
          <w:rFonts w:ascii="Times New Roman" w:hAnsi="Times New Roman" w:cs="Times New Roman"/>
          <w:sz w:val="20"/>
          <w:szCs w:val="20"/>
        </w:rPr>
        <w:t xml:space="preserve"> na </w:t>
      </w:r>
      <w:r w:rsidR="00880767">
        <w:rPr>
          <w:rFonts w:ascii="Times New Roman" w:hAnsi="Times New Roman" w:cs="Times New Roman"/>
          <w:sz w:val="20"/>
          <w:szCs w:val="20"/>
        </w:rPr>
        <w:t xml:space="preserve">zmianę </w:t>
      </w:r>
      <w:r w:rsidR="00C8068F">
        <w:rPr>
          <w:rFonts w:ascii="Times New Roman" w:hAnsi="Times New Roman" w:cs="Times New Roman"/>
          <w:sz w:val="20"/>
          <w:szCs w:val="20"/>
        </w:rPr>
        <w:t>przeznaczeni</w:t>
      </w:r>
      <w:r w:rsidR="00880767">
        <w:rPr>
          <w:rFonts w:ascii="Times New Roman" w:hAnsi="Times New Roman" w:cs="Times New Roman"/>
          <w:sz w:val="20"/>
          <w:szCs w:val="20"/>
        </w:rPr>
        <w:t>a</w:t>
      </w:r>
      <w:r w:rsidR="00C8068F">
        <w:rPr>
          <w:rFonts w:ascii="Times New Roman" w:hAnsi="Times New Roman" w:cs="Times New Roman"/>
          <w:sz w:val="20"/>
          <w:szCs w:val="20"/>
        </w:rPr>
        <w:t xml:space="preserve"> gruntów </w:t>
      </w:r>
      <w:r w:rsidRPr="00C8068F">
        <w:rPr>
          <w:rFonts w:ascii="Times New Roman" w:hAnsi="Times New Roman" w:cs="Times New Roman"/>
          <w:sz w:val="20"/>
          <w:szCs w:val="20"/>
        </w:rPr>
        <w:t>leśnych na cele nieleśne.</w:t>
      </w:r>
    </w:p>
    <w:p w14:paraId="04F0D5CB" w14:textId="77777777" w:rsidR="00C8068F" w:rsidRPr="00C8068F" w:rsidRDefault="00C8068F" w:rsidP="00EA60C5">
      <w:pPr>
        <w:pStyle w:val="Akapitzlist"/>
        <w:ind w:left="708" w:right="175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5F5B534E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4 Wymagania  ochrony  dziedzictwa  kulturowego i zabytków  oraz  dóbr  kultury współczesnej.</w:t>
      </w:r>
    </w:p>
    <w:p w14:paraId="4D97D1D8" w14:textId="74FB0BD5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Uwzględniono poprzez ustalenie zasad ochrony dziedzictwa kulturowego i zabytków w tym krajobrazów kulturowych oraz dóbr kultury współczesnej, w granic</w:t>
      </w:r>
      <w:r w:rsidR="00C8068F">
        <w:rPr>
          <w:rFonts w:ascii="Times New Roman" w:hAnsi="Times New Roman" w:cs="Times New Roman"/>
          <w:sz w:val="20"/>
          <w:szCs w:val="20"/>
        </w:rPr>
        <w:t>y</w:t>
      </w:r>
      <w:r w:rsidRPr="00C8068F">
        <w:rPr>
          <w:rFonts w:ascii="Times New Roman" w:hAnsi="Times New Roman" w:cs="Times New Roman"/>
          <w:sz w:val="20"/>
          <w:szCs w:val="20"/>
        </w:rPr>
        <w:t xml:space="preserve"> opracowania </w:t>
      </w:r>
      <w:r w:rsidR="008A5A2C">
        <w:rPr>
          <w:rFonts w:ascii="Times New Roman" w:hAnsi="Times New Roman" w:cs="Times New Roman"/>
          <w:sz w:val="20"/>
          <w:szCs w:val="20"/>
        </w:rPr>
        <w:t xml:space="preserve">nie </w:t>
      </w:r>
      <w:r w:rsidRPr="00C8068F">
        <w:rPr>
          <w:rFonts w:ascii="Times New Roman" w:hAnsi="Times New Roman" w:cs="Times New Roman"/>
          <w:sz w:val="20"/>
          <w:szCs w:val="20"/>
        </w:rPr>
        <w:t>występują obszary i obiekty podlegające ochronie konserwatorskiej i archeologicznej.</w:t>
      </w:r>
    </w:p>
    <w:p w14:paraId="545A24A2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213C3A8A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5 Wymagania  ochrony  zdrowia  oraz  bezpieczeństwa  ludzi  i mienia,  a także potrzeby osób niepełnosprawnych.</w:t>
      </w:r>
    </w:p>
    <w:p w14:paraId="1E9E71E3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Ustalenia miejscowego planu precyzują granice i sposoby zagospodarowania terenów lub obiektów podlegających ochronie, ustalonych na podstawie odrębnych przepisów, w tym terenów górniczych, a także obszarów szczególnego zagrożenia powodzią oraz obszarów osuwania się mas ziemnych, szczególne warunki zagospodarowania terenów oraz ograniczenia w ich użytkowaniu, w tym zakaz zabudowy, zasady ochrony i kształtowania ładu przestrzennego, parametrów i wskaźników zabudowy oraz zagospodarowania terenu, w tym miejsc przeznaczonych na parkowanie pojazdów zaopatrzonych w kartę parkingową i sposób ich realizacji oraz zasady modernizacji, rozbudowy i budowy systemów komunikacji i infrastruktury technicznej Ponadto na potrzeby opracowania sporządzono Prognozę Oddziaływania na środowisko.</w:t>
      </w:r>
    </w:p>
    <w:p w14:paraId="3F83DC52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0A7FAE0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6 Walory ekonomiczne przestrzeni.</w:t>
      </w:r>
    </w:p>
    <w:p w14:paraId="075028FD" w14:textId="529C3343" w:rsidR="00EA60C5" w:rsidRPr="00C8068F" w:rsidRDefault="00EA60C5" w:rsidP="003F684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Uwzględniono poprzez ustalenie zasad ochrony i kształtowania ładu przestrzennego, zasad ochrony środowiska, przyrody i krajobrazu oraz kształtowania krajobrazu, zasad ochrony dziedzictwa kulturowego i zabytków w tym krajobrazów kulturowych oraz dóbr kultury współczesnej, wymagań wynikających z potrzeb kształtowania przestrzeni publicznych, zasad kształtowania zabudowy oraz wskaźników zagospodarowania terenu, maksymalnej i minimalnej intensywności zabudowy jako wskaźnika powierzchni całkowitej zabudowy w odniesieniu do powierzchni działki budowlanej, minimalny udział procentowy powierzchni biologicznie czynnej w odniesieniu do powierzchni działki budowlanej, maksymalnej wysokości zabudowy, minimalnej liczby miejsc do parkowania w tym miejsc przeznaczonych na parkowanie pojazdów zaopatrzonych w kartę parkingową i sposób ich realizacji oraz linie zabudowy i gabaryty obiektów, zasad modernizacji, rozbudowy i budowy systemów komunikacji i infrastruktury technicznej, wysokości stawek procentowych służących naliczeniu opłaty z tytułu wzrostu wartości nieruchomości. Dla  projektu planu sporządzono Prognozę Skutków Finansowych.</w:t>
      </w:r>
    </w:p>
    <w:p w14:paraId="29411B92" w14:textId="77777777" w:rsidR="00EA60C5" w:rsidRPr="00C8068F" w:rsidRDefault="00EA60C5" w:rsidP="00EA60C5">
      <w:pPr>
        <w:pStyle w:val="Akapitzlist"/>
        <w:ind w:right="175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1CB8994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7 Prawo własności.</w:t>
      </w:r>
    </w:p>
    <w:p w14:paraId="3869CEEE" w14:textId="1C245741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Ustalenia planu oraz sposób wyznaczenia terenów wydzielonych liniami rozgraniczającymi określono mając na uwadze poszanowanie prawa własności terenów. W granicach obszaru objętego planem znajdują się grunty należące do osób prywatnych. Zgodnie z art. 6 ww. ustawy z dnia 27 marca 2003 r. o planowaniu i zagospodarowaniu przestrzennym (tekst jednolity: Dz. U. </w:t>
      </w:r>
      <w:r w:rsidR="00C8068F">
        <w:rPr>
          <w:rFonts w:ascii="Times New Roman" w:hAnsi="Times New Roman" w:cs="Times New Roman"/>
          <w:sz w:val="20"/>
          <w:szCs w:val="20"/>
        </w:rPr>
        <w:t xml:space="preserve">z </w:t>
      </w:r>
      <w:r w:rsidRPr="00C8068F">
        <w:rPr>
          <w:rFonts w:ascii="Times New Roman" w:hAnsi="Times New Roman" w:cs="Times New Roman"/>
          <w:sz w:val="20"/>
          <w:szCs w:val="20"/>
        </w:rPr>
        <w:t>202</w:t>
      </w:r>
      <w:r w:rsidR="008A5A2C">
        <w:rPr>
          <w:rFonts w:ascii="Times New Roman" w:hAnsi="Times New Roman" w:cs="Times New Roman"/>
          <w:sz w:val="20"/>
          <w:szCs w:val="20"/>
        </w:rPr>
        <w:t>3</w:t>
      </w:r>
      <w:r w:rsidRPr="00C8068F">
        <w:rPr>
          <w:rFonts w:ascii="Times New Roman" w:hAnsi="Times New Roman" w:cs="Times New Roman"/>
          <w:sz w:val="20"/>
          <w:szCs w:val="20"/>
        </w:rPr>
        <w:t xml:space="preserve"> r. poz. </w:t>
      </w:r>
      <w:r w:rsidR="008A5A2C">
        <w:rPr>
          <w:rFonts w:ascii="Times New Roman" w:hAnsi="Times New Roman" w:cs="Times New Roman"/>
          <w:sz w:val="20"/>
          <w:szCs w:val="20"/>
        </w:rPr>
        <w:t>977)</w:t>
      </w:r>
      <w:r w:rsidRPr="00C8068F">
        <w:rPr>
          <w:rFonts w:ascii="Times New Roman" w:hAnsi="Times New Roman" w:cs="Times New Roman"/>
          <w:sz w:val="20"/>
          <w:szCs w:val="20"/>
        </w:rPr>
        <w:t xml:space="preserve"> każdy ma prawo, w granicach określonych ustawą, do zagospodarowania terenu, do którego ma tytuł prawny, zgodnie z warunkami ustalonymi w miejscowym planie zagospodarowania przestrzennego, jeżeli nie narusza to chronionego prawem interesu publicznego oraz osób trzecich. Nadto zgodnie z art. 17 pkt 9 i 11 w okresie wyłożenia do publicznego wglądu oraz nie krótszym niż 14 dni od dnia zakończenia okresu wyłożenia projektu planu osoby fizyczne i prawne oraz jednostki organizacyjne nieposiadające osobowości prawnej mogą wnosić uwagi dotyczące projektu planu.</w:t>
      </w:r>
    </w:p>
    <w:p w14:paraId="4E3443F9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620742F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8 Potrzeby obronności i bezpieczeństwa państwa.</w:t>
      </w:r>
    </w:p>
    <w:p w14:paraId="661608E9" w14:textId="407D2DC0" w:rsidR="00EA60C5" w:rsidRPr="00C8068F" w:rsidRDefault="00EA60C5" w:rsidP="00EA60C5">
      <w:pPr>
        <w:pStyle w:val="Akapitzlist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</w:rPr>
        <w:t>Zgodnie z art. 17 pkt 6 b</w:t>
      </w:r>
      <w:r w:rsidR="00C8068F">
        <w:rPr>
          <w:rFonts w:ascii="Times New Roman" w:hAnsi="Times New Roman" w:cs="Times New Roman"/>
          <w:sz w:val="20"/>
          <w:szCs w:val="20"/>
        </w:rPr>
        <w:t xml:space="preserve"> </w:t>
      </w:r>
      <w:r w:rsidR="00C8068F" w:rsidRPr="00C8068F">
        <w:rPr>
          <w:rFonts w:ascii="Times New Roman" w:hAnsi="Times New Roman" w:cs="Times New Roman"/>
          <w:sz w:val="20"/>
          <w:szCs w:val="20"/>
        </w:rPr>
        <w:t xml:space="preserve">ww. ustawy z dnia 27 marca 2003 r. o planowaniu i zagospodarowaniu przestrzennym (tekst jednolity: </w:t>
      </w:r>
      <w:r w:rsidR="008A5A2C" w:rsidRPr="00C8068F">
        <w:rPr>
          <w:rFonts w:ascii="Times New Roman" w:hAnsi="Times New Roman" w:cs="Times New Roman"/>
          <w:sz w:val="20"/>
          <w:szCs w:val="20"/>
        </w:rPr>
        <w:t xml:space="preserve">Dz. U. </w:t>
      </w:r>
      <w:r w:rsidR="008A5A2C">
        <w:rPr>
          <w:rFonts w:ascii="Times New Roman" w:hAnsi="Times New Roman" w:cs="Times New Roman"/>
          <w:sz w:val="20"/>
          <w:szCs w:val="20"/>
        </w:rPr>
        <w:t xml:space="preserve">z </w:t>
      </w:r>
      <w:r w:rsidR="008A5A2C" w:rsidRPr="00C8068F">
        <w:rPr>
          <w:rFonts w:ascii="Times New Roman" w:hAnsi="Times New Roman" w:cs="Times New Roman"/>
          <w:sz w:val="20"/>
          <w:szCs w:val="20"/>
        </w:rPr>
        <w:t>202</w:t>
      </w:r>
      <w:r w:rsidR="008A5A2C">
        <w:rPr>
          <w:rFonts w:ascii="Times New Roman" w:hAnsi="Times New Roman" w:cs="Times New Roman"/>
          <w:sz w:val="20"/>
          <w:szCs w:val="20"/>
        </w:rPr>
        <w:t>3</w:t>
      </w:r>
      <w:r w:rsidR="008A5A2C" w:rsidRPr="00C8068F">
        <w:rPr>
          <w:rFonts w:ascii="Times New Roman" w:hAnsi="Times New Roman" w:cs="Times New Roman"/>
          <w:sz w:val="20"/>
          <w:szCs w:val="20"/>
        </w:rPr>
        <w:t xml:space="preserve"> r. poz. </w:t>
      </w:r>
      <w:r w:rsidR="008A5A2C">
        <w:rPr>
          <w:rFonts w:ascii="Times New Roman" w:hAnsi="Times New Roman" w:cs="Times New Roman"/>
          <w:sz w:val="20"/>
          <w:szCs w:val="20"/>
        </w:rPr>
        <w:t>977</w:t>
      </w:r>
      <w:r w:rsidR="00C8068F" w:rsidRPr="00C8068F">
        <w:rPr>
          <w:rFonts w:ascii="Times New Roman" w:hAnsi="Times New Roman" w:cs="Times New Roman"/>
          <w:sz w:val="20"/>
          <w:szCs w:val="20"/>
        </w:rPr>
        <w:t>)</w:t>
      </w:r>
      <w:r w:rsidRPr="00C8068F">
        <w:rPr>
          <w:rFonts w:ascii="Times New Roman" w:hAnsi="Times New Roman" w:cs="Times New Roman"/>
          <w:sz w:val="20"/>
          <w:szCs w:val="20"/>
        </w:rPr>
        <w:t xml:space="preserve"> projekt planu uzyskał pozytywne uzgodnienia właściwych organów wojskowych, ochrony granic oraz bezpieczeństwa państwa.</w:t>
      </w:r>
    </w:p>
    <w:p w14:paraId="7660CAAD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5C70383E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9 Potrzeby interesu publicznego.</w:t>
      </w:r>
    </w:p>
    <w:p w14:paraId="582A9BAE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</w:rPr>
        <w:lastRenderedPageBreak/>
        <w:t>Uwzględniono poprzez ustalenie wymagań wynikających z potrzeb kształtowania przestrzeni publicznych ora zasad modernizacji, rozbudowy i budowy systemów komunikacji i infrastruktury technicznej.</w:t>
      </w:r>
    </w:p>
    <w:p w14:paraId="75A35765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65CC132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10 Potrzeby  w zakresie  rozwoju  infrastruktury  technicznej,  w szczególności  sieci szerokopasmowych.</w:t>
      </w:r>
    </w:p>
    <w:p w14:paraId="7F6C463F" w14:textId="77777777" w:rsidR="00EA60C5" w:rsidRPr="00C8068F" w:rsidRDefault="00EA60C5" w:rsidP="00EA60C5">
      <w:pPr>
        <w:pStyle w:val="Akapitzlist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</w:rPr>
        <w:t>Uwzględniono poprzez ustalenie zasad modernizacji, rozbudowy i budowy systemów komunikacji i infrastruktury technicznej.</w:t>
      </w:r>
    </w:p>
    <w:p w14:paraId="77CFC9BB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797B0C08" w14:textId="77777777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11 Udział społeczeństwa w pracach nad miejscowym planem zagospodarowania przestrzennego, w tym przy użyciu środków komunikacji elektronicznej oraz art. 1, ust. 2, pkt. 12 Zachowanie jawności i przejrzystości procedur planistycznych.</w:t>
      </w:r>
    </w:p>
    <w:p w14:paraId="00898DEA" w14:textId="2D94BAF3" w:rsidR="00EA60C5" w:rsidRPr="00C8068F" w:rsidRDefault="00EA60C5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Do prac planistycznych nad sporządzeniem miejscowego planu przystąpiono uchwałą </w:t>
      </w:r>
      <w:r w:rsidR="008A5A2C" w:rsidRPr="008A5A2C">
        <w:rPr>
          <w:rFonts w:ascii="Times New Roman" w:hAnsi="Times New Roman" w:cs="Times New Roman"/>
          <w:sz w:val="20"/>
          <w:szCs w:val="20"/>
        </w:rPr>
        <w:t>Nr XLI.386.2022 Rady Gminy Dąbrowa Chełmińska z dnia 31 marca 2022 r. w sprawie przystąpienia do sporządzenia miejscowego planu zagospodarowania przestrzennego terenu części wsi Dąbrowa Chełmińska Nr 8</w:t>
      </w:r>
      <w:r w:rsidRPr="00C8068F">
        <w:rPr>
          <w:rFonts w:ascii="Times New Roman" w:hAnsi="Times New Roman" w:cs="Times New Roman"/>
          <w:sz w:val="20"/>
          <w:szCs w:val="20"/>
        </w:rPr>
        <w:t>.</w:t>
      </w:r>
    </w:p>
    <w:p w14:paraId="3815F8FD" w14:textId="5BBBE34B" w:rsidR="00EA60C5" w:rsidRPr="00C8068F" w:rsidRDefault="00C8068F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Wójt </w:t>
      </w:r>
      <w:r w:rsidR="00EA60C5" w:rsidRPr="00C8068F">
        <w:rPr>
          <w:rFonts w:ascii="Times New Roman" w:hAnsi="Times New Roman" w:cs="Times New Roman"/>
          <w:sz w:val="20"/>
          <w:szCs w:val="20"/>
        </w:rPr>
        <w:t xml:space="preserve">zawiadomił poprzez obwieszczenia i ogłoszenia </w:t>
      </w:r>
      <w:r>
        <w:rPr>
          <w:rFonts w:ascii="Times New Roman" w:hAnsi="Times New Roman" w:cs="Times New Roman"/>
          <w:sz w:val="20"/>
          <w:szCs w:val="20"/>
        </w:rPr>
        <w:t>(BIP</w:t>
      </w:r>
      <w:r w:rsidR="003F684A">
        <w:rPr>
          <w:rFonts w:ascii="Times New Roman" w:hAnsi="Times New Roman" w:cs="Times New Roman"/>
          <w:sz w:val="20"/>
          <w:szCs w:val="20"/>
        </w:rPr>
        <w:t xml:space="preserve"> </w:t>
      </w:r>
      <w:r w:rsidR="003F684A" w:rsidRPr="00C8068F">
        <w:rPr>
          <w:rFonts w:ascii="Times New Roman" w:hAnsi="Times New Roman" w:cs="Times New Roman"/>
          <w:sz w:val="20"/>
          <w:szCs w:val="20"/>
        </w:rPr>
        <w:t xml:space="preserve">Gminy </w:t>
      </w:r>
      <w:r w:rsidR="003F684A">
        <w:rPr>
          <w:rFonts w:ascii="Times New Roman" w:hAnsi="Times New Roman" w:cs="Times New Roman"/>
          <w:sz w:val="20"/>
          <w:szCs w:val="20"/>
        </w:rPr>
        <w:t>Dąbrowa Chełmińska</w:t>
      </w:r>
      <w:r w:rsidR="003F684A" w:rsidRPr="00C8068F">
        <w:rPr>
          <w:rFonts w:ascii="Times New Roman" w:hAnsi="Times New Roman" w:cs="Times New Roman"/>
          <w:sz w:val="20"/>
          <w:szCs w:val="20"/>
        </w:rPr>
        <w:t>, tablic</w:t>
      </w:r>
      <w:r w:rsidR="003F684A">
        <w:rPr>
          <w:rFonts w:ascii="Times New Roman" w:hAnsi="Times New Roman" w:cs="Times New Roman"/>
          <w:sz w:val="20"/>
          <w:szCs w:val="20"/>
        </w:rPr>
        <w:t>e</w:t>
      </w:r>
      <w:r w:rsidR="003F684A" w:rsidRPr="00C8068F">
        <w:rPr>
          <w:rFonts w:ascii="Times New Roman" w:hAnsi="Times New Roman" w:cs="Times New Roman"/>
          <w:sz w:val="20"/>
          <w:szCs w:val="20"/>
        </w:rPr>
        <w:t xml:space="preserve"> ogłoszeń Urzędu </w:t>
      </w:r>
      <w:r w:rsidR="003F684A">
        <w:rPr>
          <w:rFonts w:ascii="Times New Roman" w:hAnsi="Times New Roman" w:cs="Times New Roman"/>
          <w:sz w:val="20"/>
          <w:szCs w:val="20"/>
        </w:rPr>
        <w:t xml:space="preserve">Gminy w Dąbrowie Chełmińskiej i Sołectwa </w:t>
      </w:r>
      <w:r w:rsidR="00880767">
        <w:rPr>
          <w:rFonts w:ascii="Times New Roman" w:hAnsi="Times New Roman" w:cs="Times New Roman"/>
          <w:sz w:val="20"/>
          <w:szCs w:val="20"/>
        </w:rPr>
        <w:t>Dąbrowa Chełmińska</w:t>
      </w:r>
      <w:r w:rsidR="003F684A">
        <w:rPr>
          <w:rFonts w:ascii="Times New Roman" w:hAnsi="Times New Roman" w:cs="Times New Roman"/>
          <w:sz w:val="20"/>
          <w:szCs w:val="20"/>
        </w:rPr>
        <w:t>, prasa)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A60C5" w:rsidRPr="00C8068F">
        <w:rPr>
          <w:rFonts w:ascii="Times New Roman" w:hAnsi="Times New Roman" w:cs="Times New Roman"/>
          <w:sz w:val="20"/>
          <w:szCs w:val="20"/>
        </w:rPr>
        <w:t>o podjęciu wyżej wymienionej Uchwały. Poinformował o możliwości składania wniosków do projektu planu w terminie do dnia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A5A2C">
        <w:rPr>
          <w:rFonts w:ascii="Times New Roman" w:hAnsi="Times New Roman" w:cs="Times New Roman"/>
          <w:sz w:val="20"/>
          <w:szCs w:val="20"/>
        </w:rPr>
        <w:t>8 lipca 2022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A60C5" w:rsidRPr="00C8068F">
        <w:rPr>
          <w:rFonts w:ascii="Times New Roman" w:hAnsi="Times New Roman" w:cs="Times New Roman"/>
          <w:sz w:val="20"/>
          <w:szCs w:val="20"/>
        </w:rPr>
        <w:t xml:space="preserve">r. </w:t>
      </w:r>
    </w:p>
    <w:p w14:paraId="3DFDD77B" w14:textId="1211C0EF" w:rsidR="00EA60C5" w:rsidRPr="00C8068F" w:rsidRDefault="00EA60C5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Ponadto </w:t>
      </w:r>
      <w:r w:rsidR="00C8068F">
        <w:rPr>
          <w:rFonts w:ascii="Times New Roman" w:hAnsi="Times New Roman" w:cs="Times New Roman"/>
          <w:sz w:val="20"/>
          <w:szCs w:val="20"/>
        </w:rPr>
        <w:t>Wójt</w:t>
      </w:r>
      <w:r w:rsidRPr="00C8068F">
        <w:rPr>
          <w:rFonts w:ascii="Times New Roman" w:hAnsi="Times New Roman" w:cs="Times New Roman"/>
          <w:sz w:val="20"/>
          <w:szCs w:val="20"/>
        </w:rPr>
        <w:t xml:space="preserve"> zawiadomił Organy i Instytucje, które będą opiniowały i uzgadniały projekt - o podjęciu wyżej wymienionej Uchwały. Wskazał termin składania wniosków – 21 dni od daty otrzymania zawiadomienia.</w:t>
      </w:r>
    </w:p>
    <w:p w14:paraId="4E405942" w14:textId="4B1CB022" w:rsidR="00EA60C5" w:rsidRPr="00C8068F" w:rsidRDefault="00EA60C5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Obwieszczeniem </w:t>
      </w:r>
      <w:r w:rsidR="00C8068F">
        <w:rPr>
          <w:rFonts w:ascii="Times New Roman" w:hAnsi="Times New Roman" w:cs="Times New Roman"/>
          <w:sz w:val="20"/>
          <w:szCs w:val="20"/>
        </w:rPr>
        <w:t>Wójt</w:t>
      </w:r>
      <w:r w:rsidRPr="00C8068F">
        <w:rPr>
          <w:rFonts w:ascii="Times New Roman" w:hAnsi="Times New Roman" w:cs="Times New Roman"/>
          <w:sz w:val="20"/>
          <w:szCs w:val="20"/>
        </w:rPr>
        <w:t xml:space="preserve"> zawiadomił o wyłożeniu do publicznego wglądu projektu miejscowego planu wraz  z prognozą oddziaływania na</w:t>
      </w:r>
      <w:r w:rsidR="00C743FE">
        <w:rPr>
          <w:rFonts w:ascii="Times New Roman" w:hAnsi="Times New Roman" w:cs="Times New Roman"/>
          <w:sz w:val="20"/>
          <w:szCs w:val="20"/>
        </w:rPr>
        <w:t>.</w:t>
      </w:r>
      <w:r w:rsidRPr="00C8068F">
        <w:rPr>
          <w:rFonts w:ascii="Times New Roman" w:hAnsi="Times New Roman" w:cs="Times New Roman"/>
          <w:sz w:val="20"/>
          <w:szCs w:val="20"/>
        </w:rPr>
        <w:t xml:space="preserve"> środowisko. Obwieszczenie ukazało się na BIP Gminy </w:t>
      </w:r>
      <w:r w:rsidR="00C8068F">
        <w:rPr>
          <w:rFonts w:ascii="Times New Roman" w:hAnsi="Times New Roman" w:cs="Times New Roman"/>
          <w:sz w:val="20"/>
          <w:szCs w:val="20"/>
        </w:rPr>
        <w:t>Dąbrowa Chełmińska</w:t>
      </w:r>
      <w:r w:rsidRPr="00C8068F">
        <w:rPr>
          <w:rFonts w:ascii="Times New Roman" w:hAnsi="Times New Roman" w:cs="Times New Roman"/>
          <w:sz w:val="20"/>
          <w:szCs w:val="20"/>
        </w:rPr>
        <w:t xml:space="preserve">, tablicy ogłoszeń Urzędu </w:t>
      </w:r>
      <w:r w:rsidR="00C8068F">
        <w:rPr>
          <w:rFonts w:ascii="Times New Roman" w:hAnsi="Times New Roman" w:cs="Times New Roman"/>
          <w:sz w:val="20"/>
          <w:szCs w:val="20"/>
        </w:rPr>
        <w:t xml:space="preserve">Gminy w Dąbrowie Chełmińskiej i Sołectwa </w:t>
      </w:r>
      <w:r w:rsidR="00880767">
        <w:rPr>
          <w:rFonts w:ascii="Times New Roman" w:hAnsi="Times New Roman" w:cs="Times New Roman"/>
          <w:sz w:val="20"/>
          <w:szCs w:val="20"/>
        </w:rPr>
        <w:t>Dąbrowa Chełmińska</w:t>
      </w:r>
      <w:r w:rsidR="00880767" w:rsidRPr="00C8068F">
        <w:rPr>
          <w:rFonts w:ascii="Times New Roman" w:hAnsi="Times New Roman" w:cs="Times New Roman"/>
          <w:sz w:val="20"/>
          <w:szCs w:val="20"/>
        </w:rPr>
        <w:t xml:space="preserve"> </w:t>
      </w:r>
      <w:r w:rsidRPr="00C8068F">
        <w:rPr>
          <w:rFonts w:ascii="Times New Roman" w:hAnsi="Times New Roman" w:cs="Times New Roman"/>
          <w:sz w:val="20"/>
          <w:szCs w:val="20"/>
        </w:rPr>
        <w:t>oraz w prasie.</w:t>
      </w:r>
    </w:p>
    <w:p w14:paraId="15AD0F12" w14:textId="77777777" w:rsidR="00EA60C5" w:rsidRPr="00C8068F" w:rsidRDefault="00EA60C5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W obwieszczeniu zawarto informacje szczegółowe na temat: wyłożenia projektu, dyskusji publicznej, składania uwag. Dopuszczono składanie uwag za pośrednictwem środków komunikacji elektronicznej.</w:t>
      </w:r>
    </w:p>
    <w:p w14:paraId="3F68F318" w14:textId="380D5606" w:rsidR="00C743FE" w:rsidRPr="00C743FE" w:rsidRDefault="00C743FE" w:rsidP="00C743FE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743FE">
        <w:rPr>
          <w:rFonts w:ascii="Times New Roman" w:hAnsi="Times New Roman" w:cs="Times New Roman"/>
          <w:sz w:val="20"/>
          <w:szCs w:val="20"/>
        </w:rPr>
        <w:t xml:space="preserve">Projekt ww. planu wyłożony był do publicznego wglądu w dniach </w:t>
      </w:r>
      <w:r w:rsidR="008A5A2C" w:rsidRPr="008A5A2C">
        <w:rPr>
          <w:rFonts w:ascii="Times New Roman" w:hAnsi="Times New Roman" w:cs="Times New Roman"/>
          <w:sz w:val="20"/>
          <w:szCs w:val="20"/>
        </w:rPr>
        <w:t>od 4 kwietnia 2023 r. do 10 maja 2023 r.</w:t>
      </w:r>
      <w:r w:rsidRPr="00C743FE">
        <w:rPr>
          <w:rFonts w:ascii="Times New Roman" w:hAnsi="Times New Roman" w:cs="Times New Roman"/>
          <w:sz w:val="20"/>
          <w:szCs w:val="20"/>
        </w:rPr>
        <w:t xml:space="preserve"> w siedzibie Urzędu Gminy w Dąbrowie Chełmińskiej ul. Bydgoska 21, 86-070 Dąbrowa Chełmińska, pok. Nr 9, w godzinach pracy Urzędu tj. poniedziałek, środa i czwartek 7.30 – 15.30, wtorek 7.30 – 17.00, piątek 7.30-14.00. </w:t>
      </w:r>
    </w:p>
    <w:p w14:paraId="3842ACE5" w14:textId="6F0D2E6F" w:rsidR="00C743FE" w:rsidRPr="00C743FE" w:rsidRDefault="00C743FE" w:rsidP="00C743FE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743FE">
        <w:rPr>
          <w:rFonts w:ascii="Times New Roman" w:hAnsi="Times New Roman" w:cs="Times New Roman"/>
          <w:sz w:val="20"/>
          <w:szCs w:val="20"/>
        </w:rPr>
        <w:t xml:space="preserve">W dniu </w:t>
      </w:r>
      <w:r w:rsidR="008A5A2C">
        <w:rPr>
          <w:rFonts w:ascii="Times New Roman" w:hAnsi="Times New Roman" w:cs="Times New Roman"/>
          <w:sz w:val="20"/>
          <w:szCs w:val="20"/>
        </w:rPr>
        <w:t xml:space="preserve">25 kwietnia 2023 </w:t>
      </w:r>
      <w:r w:rsidRPr="00C743FE">
        <w:rPr>
          <w:rFonts w:ascii="Times New Roman" w:hAnsi="Times New Roman" w:cs="Times New Roman"/>
          <w:sz w:val="20"/>
          <w:szCs w:val="20"/>
        </w:rPr>
        <w:t xml:space="preserve">r. </w:t>
      </w:r>
      <w:r w:rsidR="008A5A2C">
        <w:rPr>
          <w:rFonts w:ascii="Times New Roman" w:hAnsi="Times New Roman" w:cs="Times New Roman"/>
          <w:sz w:val="20"/>
          <w:szCs w:val="20"/>
        </w:rPr>
        <w:t xml:space="preserve">o godz. 11.00 </w:t>
      </w:r>
      <w:r w:rsidRPr="00C743FE">
        <w:rPr>
          <w:rFonts w:ascii="Times New Roman" w:hAnsi="Times New Roman" w:cs="Times New Roman"/>
          <w:sz w:val="20"/>
          <w:szCs w:val="20"/>
        </w:rPr>
        <w:t>w Urzędzie Gminy w Dąbrowie Chełmińskiej ul. Bydgoska 21, 86-070 Dąbrowa Chełmińska, sala nr 21, odbyła się publiczna dyskusja nad przyjętymi w ww. projekcie miejscowego planu zagospodarowania przestrzennego. rozwiązaniami w trakcie, której sporządzono wymagany przepisami protokół.</w:t>
      </w:r>
    </w:p>
    <w:p w14:paraId="61C5C113" w14:textId="73FF3462" w:rsidR="003F684A" w:rsidRDefault="00C743FE" w:rsidP="00C743FE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743FE">
        <w:rPr>
          <w:rFonts w:ascii="Times New Roman" w:hAnsi="Times New Roman" w:cs="Times New Roman"/>
          <w:sz w:val="20"/>
          <w:szCs w:val="20"/>
        </w:rPr>
        <w:t xml:space="preserve">Dnia </w:t>
      </w:r>
      <w:r w:rsidR="008A5A2C">
        <w:rPr>
          <w:rFonts w:ascii="Times New Roman" w:hAnsi="Times New Roman" w:cs="Times New Roman"/>
          <w:sz w:val="20"/>
          <w:szCs w:val="20"/>
        </w:rPr>
        <w:t xml:space="preserve">25 maja 2023 </w:t>
      </w:r>
      <w:r w:rsidRPr="00C743FE">
        <w:rPr>
          <w:rFonts w:ascii="Times New Roman" w:hAnsi="Times New Roman" w:cs="Times New Roman"/>
          <w:sz w:val="20"/>
          <w:szCs w:val="20"/>
        </w:rPr>
        <w:t>r. minął termin składania uwag do ww. projektu</w:t>
      </w:r>
      <w:r w:rsidR="00EA60C5" w:rsidRPr="003F684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743FE">
        <w:rPr>
          <w:rFonts w:ascii="Times New Roman" w:hAnsi="Times New Roman" w:cs="Times New Roman"/>
          <w:sz w:val="20"/>
          <w:szCs w:val="20"/>
        </w:rPr>
        <w:t>Nie złożono uwag do projektu przedmiotowego planu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468B1E2" w14:textId="77777777" w:rsidR="00EA60C5" w:rsidRPr="003F684A" w:rsidRDefault="00EA60C5" w:rsidP="003F684A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7CCB2C" w14:textId="77777777" w:rsidR="00EA60C5" w:rsidRPr="00C8068F" w:rsidRDefault="00EA60C5" w:rsidP="003F684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2, pkt. 13 Potrzeba zapewnienia odpowiedniej ilości i jakości wody, do celów zaopatrzenia ludności.</w:t>
      </w:r>
    </w:p>
    <w:p w14:paraId="318B26EF" w14:textId="003691E3" w:rsidR="00EA60C5" w:rsidRPr="00C8068F" w:rsidRDefault="00EA60C5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Uwzględniono poprzez ustalenie zasad obsługi w zakresie zaopatrzenia w wodę: z gminnej sieci wodociągowej</w:t>
      </w:r>
      <w:r w:rsidR="008A5A2C">
        <w:rPr>
          <w:rFonts w:ascii="Times New Roman" w:hAnsi="Times New Roman" w:cs="Times New Roman"/>
          <w:sz w:val="20"/>
          <w:szCs w:val="20"/>
        </w:rPr>
        <w:t>,</w:t>
      </w:r>
      <w:r w:rsidRPr="00C8068F">
        <w:rPr>
          <w:rFonts w:ascii="Times New Roman" w:hAnsi="Times New Roman" w:cs="Times New Roman"/>
          <w:sz w:val="20"/>
          <w:szCs w:val="20"/>
        </w:rPr>
        <w:t xml:space="preserve"> uzbrojonej w zasuwy i hydranty przeciwpożarowe w ilości zgodnej z przepisami odrębnymi.</w:t>
      </w:r>
    </w:p>
    <w:p w14:paraId="42617165" w14:textId="77777777" w:rsidR="00EA60C5" w:rsidRPr="00C8068F" w:rsidRDefault="00EA60C5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2F480FFA" w14:textId="068E1C25" w:rsidR="00EA60C5" w:rsidRPr="00C8068F" w:rsidRDefault="00EA60C5" w:rsidP="003F684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3 Interes publiczny i interesy prywatne, w tym zgłaszane w postaci wniosków i uwag, zmierzające do ochrony istniejącego stanu zagospodarowania terenu, jak i zmian w zakresie jego zagospodarowania, a także analizy ekonomiczne, środowiskowe i społeczne.</w:t>
      </w:r>
    </w:p>
    <w:p w14:paraId="7A99ACF4" w14:textId="77777777" w:rsidR="00EA60C5" w:rsidRPr="00C8068F" w:rsidRDefault="00EA60C5" w:rsidP="003F684A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Opracowanie miejscowego planu zagospodarowania przestrzennego znajduje w pełni uzasadnienie bowiem umożliwi w granicach opracowania realizację zamierzeń inwestycyjnych z jasno i czytelnie określonymi warunkami zagospodarowania oraz zasadami obsługi komunikacyjnej. Planowanie i lokalizowanie nowej zabudowy na terenie położonym w obszarze o w pełni wykształconej zwartej </w:t>
      </w:r>
      <w:r w:rsidRPr="00C8068F">
        <w:rPr>
          <w:rFonts w:ascii="Times New Roman" w:hAnsi="Times New Roman" w:cs="Times New Roman"/>
          <w:sz w:val="20"/>
          <w:szCs w:val="20"/>
        </w:rPr>
        <w:lastRenderedPageBreak/>
        <w:t>strukturze funkcjonalno-przestrzennej, na terenie o już istniejącym zainwestowaniu jest słusznym działaniem na rzecz rozwoju gminy.</w:t>
      </w:r>
    </w:p>
    <w:p w14:paraId="748D0340" w14:textId="77777777" w:rsidR="00EA60C5" w:rsidRPr="00C8068F" w:rsidRDefault="00EA60C5" w:rsidP="003F684A">
      <w:pPr>
        <w:pStyle w:val="Akapitzlist"/>
        <w:tabs>
          <w:tab w:val="left" w:pos="70"/>
        </w:tabs>
        <w:ind w:left="45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068F">
        <w:rPr>
          <w:rFonts w:ascii="Times New Roman" w:hAnsi="Times New Roman" w:cs="Times New Roman"/>
          <w:b/>
          <w:sz w:val="20"/>
          <w:szCs w:val="20"/>
        </w:rPr>
        <w:tab/>
      </w:r>
      <w:r w:rsidRPr="00C8068F">
        <w:rPr>
          <w:rFonts w:ascii="Times New Roman" w:hAnsi="Times New Roman" w:cs="Times New Roman"/>
          <w:bCs/>
          <w:sz w:val="20"/>
          <w:szCs w:val="20"/>
        </w:rPr>
        <w:t>Analizy ekonomiczne – zawarto w opracowaniu „Prognoza Skutków Finansowych.”</w:t>
      </w:r>
    </w:p>
    <w:p w14:paraId="60C29CC4" w14:textId="29191B61" w:rsidR="00EA60C5" w:rsidRPr="00C8068F" w:rsidRDefault="00EA60C5" w:rsidP="003F684A">
      <w:pPr>
        <w:pStyle w:val="Akapitzlist"/>
        <w:tabs>
          <w:tab w:val="left" w:pos="70"/>
        </w:tabs>
        <w:ind w:left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8068F">
        <w:rPr>
          <w:rFonts w:ascii="Times New Roman" w:hAnsi="Times New Roman" w:cs="Times New Roman"/>
          <w:bCs/>
          <w:sz w:val="20"/>
          <w:szCs w:val="20"/>
        </w:rPr>
        <w:t xml:space="preserve">Analizy środowiskowe – zawarto w opracowaniu „Prognoza oddziaływania na środowisko do projektu miejscowego planu zagospodarowania przestrzennego </w:t>
      </w:r>
      <w:r w:rsidR="00703789" w:rsidRPr="00703789">
        <w:rPr>
          <w:rFonts w:ascii="Times New Roman" w:hAnsi="Times New Roman" w:cs="Times New Roman"/>
          <w:bCs/>
          <w:sz w:val="20"/>
          <w:szCs w:val="20"/>
        </w:rPr>
        <w:t xml:space="preserve">terenu części wsi Dąbrowa Chełmińska Nr </w:t>
      </w:r>
      <w:r w:rsidR="008A5A2C">
        <w:rPr>
          <w:rFonts w:ascii="Times New Roman" w:hAnsi="Times New Roman" w:cs="Times New Roman"/>
          <w:bCs/>
          <w:sz w:val="20"/>
          <w:szCs w:val="20"/>
        </w:rPr>
        <w:t>8</w:t>
      </w:r>
      <w:r w:rsidRPr="003F684A">
        <w:rPr>
          <w:rFonts w:ascii="Times New Roman" w:hAnsi="Times New Roman" w:cs="Times New Roman"/>
          <w:bCs/>
          <w:sz w:val="20"/>
          <w:szCs w:val="20"/>
        </w:rPr>
        <w:t>”</w:t>
      </w:r>
      <w:r w:rsidRPr="00C8068F">
        <w:rPr>
          <w:rFonts w:ascii="Times New Roman" w:hAnsi="Times New Roman" w:cs="Times New Roman"/>
          <w:bCs/>
          <w:sz w:val="20"/>
          <w:szCs w:val="20"/>
        </w:rPr>
        <w:t>.</w:t>
      </w:r>
    </w:p>
    <w:p w14:paraId="25050869" w14:textId="36F4124D" w:rsidR="00EA60C5" w:rsidRPr="00C8068F" w:rsidRDefault="00EA60C5" w:rsidP="003F684A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bCs/>
          <w:sz w:val="20"/>
          <w:szCs w:val="20"/>
        </w:rPr>
        <w:t>Analizy społeczne - pr</w:t>
      </w:r>
      <w:r w:rsidRPr="00703789">
        <w:rPr>
          <w:rFonts w:ascii="Times New Roman" w:hAnsi="Times New Roman" w:cs="Times New Roman"/>
          <w:bCs/>
          <w:sz w:val="20"/>
          <w:szCs w:val="20"/>
        </w:rPr>
        <w:t>zed podjęciem uchwały o przystąpieniu do sporządzenia miejscowego planu</w:t>
      </w:r>
      <w:r w:rsidRPr="00C8068F">
        <w:rPr>
          <w:rFonts w:ascii="Times New Roman" w:hAnsi="Times New Roman" w:cs="Times New Roman"/>
          <w:sz w:val="20"/>
          <w:szCs w:val="20"/>
        </w:rPr>
        <w:t xml:space="preserve"> zagospodarowania przestrzennego, </w:t>
      </w:r>
      <w:r w:rsidR="003F684A">
        <w:rPr>
          <w:rFonts w:ascii="Times New Roman" w:hAnsi="Times New Roman" w:cs="Times New Roman"/>
          <w:sz w:val="20"/>
          <w:szCs w:val="20"/>
        </w:rPr>
        <w:t>Wójt</w:t>
      </w:r>
      <w:r w:rsidRPr="00C8068F">
        <w:rPr>
          <w:rFonts w:ascii="Times New Roman" w:hAnsi="Times New Roman" w:cs="Times New Roman"/>
          <w:sz w:val="20"/>
          <w:szCs w:val="20"/>
        </w:rPr>
        <w:t xml:space="preserve"> wykonał „Analizę dotyczącą zasadności  przystąpienia do sporządzenia miejscowego planu zagospodarowania przestrzennego  i stopnia zgodności przewidywanych rozwiązań  z ustaleniami studium.”</w:t>
      </w:r>
    </w:p>
    <w:p w14:paraId="4D206BA0" w14:textId="77777777" w:rsidR="00EA60C5" w:rsidRPr="00C8068F" w:rsidRDefault="00EA60C5" w:rsidP="00EA60C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FCDBDE7" w14:textId="7FC30393" w:rsidR="00EA60C5" w:rsidRPr="00C8068F" w:rsidRDefault="00EA60C5" w:rsidP="00EA60C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8068F">
        <w:rPr>
          <w:rFonts w:ascii="Times New Roman" w:hAnsi="Times New Roman" w:cs="Times New Roman"/>
          <w:sz w:val="20"/>
          <w:szCs w:val="20"/>
          <w:u w:val="single"/>
        </w:rPr>
        <w:t>art. 1, ust. 4 Wymagania ładu przestrzennego, efektywnego gospodarowania przestrzenią oraz walorów ekonomicznych przestrzeni, w przypadku sytuowania nowej zabudowy</w:t>
      </w:r>
      <w:r w:rsidR="00C743FE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14:paraId="42FB2C85" w14:textId="77777777" w:rsidR="00EA60C5" w:rsidRPr="00C8068F" w:rsidRDefault="00EA60C5" w:rsidP="00EA60C5">
      <w:pPr>
        <w:pStyle w:val="Akapitzlist"/>
        <w:ind w:left="993" w:right="175" w:hanging="284"/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Plan wyznacza następujące przeznaczenie terenu:</w:t>
      </w:r>
    </w:p>
    <w:p w14:paraId="7AF59C59" w14:textId="77777777" w:rsidR="008A5A2C" w:rsidRPr="008A5A2C" w:rsidRDefault="008A5A2C" w:rsidP="008A5A2C">
      <w:pPr>
        <w:pStyle w:val="Akapitzlist"/>
        <w:numPr>
          <w:ilvl w:val="0"/>
          <w:numId w:val="5"/>
        </w:numPr>
        <w:tabs>
          <w:tab w:val="left" w:pos="1276"/>
        </w:tabs>
        <w:suppressAutoHyphens/>
        <w:ind w:firstLine="273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527368940"/>
      <w:r w:rsidRPr="008A5A2C">
        <w:rPr>
          <w:rFonts w:ascii="Times New Roman" w:hAnsi="Times New Roman" w:cs="Times New Roman"/>
          <w:sz w:val="20"/>
          <w:szCs w:val="20"/>
        </w:rPr>
        <w:t>P-U – teren produkcji lub usług,</w:t>
      </w:r>
    </w:p>
    <w:p w14:paraId="3B7C0EC0" w14:textId="77777777" w:rsidR="008A5A2C" w:rsidRPr="008A5A2C" w:rsidRDefault="008A5A2C" w:rsidP="008A5A2C">
      <w:pPr>
        <w:pStyle w:val="Akapitzlist"/>
        <w:numPr>
          <w:ilvl w:val="0"/>
          <w:numId w:val="5"/>
        </w:numPr>
        <w:tabs>
          <w:tab w:val="left" w:pos="1276"/>
        </w:tabs>
        <w:suppressAutoHyphens/>
        <w:ind w:firstLine="273"/>
        <w:jc w:val="both"/>
        <w:rPr>
          <w:rFonts w:ascii="Times New Roman" w:hAnsi="Times New Roman" w:cs="Times New Roman"/>
          <w:sz w:val="20"/>
          <w:szCs w:val="20"/>
        </w:rPr>
      </w:pPr>
      <w:r w:rsidRPr="008A5A2C">
        <w:rPr>
          <w:rFonts w:ascii="Times New Roman" w:hAnsi="Times New Roman" w:cs="Times New Roman"/>
          <w:sz w:val="20"/>
          <w:szCs w:val="20"/>
        </w:rPr>
        <w:t>KDD – teren komunikacji drogowej publicznej – teren drogi dojazdowej,</w:t>
      </w:r>
    </w:p>
    <w:p w14:paraId="21AED092" w14:textId="43425055" w:rsidR="003F684A" w:rsidRPr="008A5A2C" w:rsidRDefault="008A5A2C" w:rsidP="008A5A2C">
      <w:pPr>
        <w:pStyle w:val="Akapitzlist"/>
        <w:numPr>
          <w:ilvl w:val="0"/>
          <w:numId w:val="5"/>
        </w:numPr>
        <w:tabs>
          <w:tab w:val="left" w:pos="1276"/>
        </w:tabs>
        <w:suppressAutoHyphens/>
        <w:spacing w:after="0"/>
        <w:ind w:firstLine="273"/>
        <w:jc w:val="both"/>
        <w:rPr>
          <w:rFonts w:ascii="Times New Roman" w:hAnsi="Times New Roman" w:cs="Times New Roman"/>
          <w:sz w:val="20"/>
          <w:szCs w:val="20"/>
        </w:rPr>
      </w:pPr>
      <w:r w:rsidRPr="008A5A2C">
        <w:rPr>
          <w:rFonts w:ascii="Times New Roman" w:hAnsi="Times New Roman" w:cs="Times New Roman"/>
          <w:sz w:val="20"/>
          <w:szCs w:val="20"/>
        </w:rPr>
        <w:t>KR – teren komunikacji drogowej wewnętrznej.</w:t>
      </w:r>
    </w:p>
    <w:bookmarkEnd w:id="0"/>
    <w:p w14:paraId="136C3004" w14:textId="77777777" w:rsidR="00EA60C5" w:rsidRPr="00C8068F" w:rsidRDefault="00EA60C5" w:rsidP="00EA60C5">
      <w:pPr>
        <w:pStyle w:val="ZLITUST8211"/>
        <w:spacing w:line="276" w:lineRule="auto"/>
        <w:ind w:left="709" w:firstLine="0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Sytuowanie nowej zabudowy, uwzględnienia wymagania ładu przestrzennego, efektywne gospodarowanie przestrzenią oraz walory ekonomiczne przestrzeni poprzez:</w:t>
      </w:r>
    </w:p>
    <w:p w14:paraId="387AC8EB" w14:textId="77777777" w:rsidR="00EA60C5" w:rsidRPr="00C8068F" w:rsidRDefault="00EA60C5" w:rsidP="00EA60C5">
      <w:pPr>
        <w:pStyle w:val="ZLITPKT8211"/>
        <w:numPr>
          <w:ilvl w:val="0"/>
          <w:numId w:val="4"/>
        </w:numPr>
        <w:spacing w:line="276" w:lineRule="auto"/>
        <w:ind w:left="1276" w:hanging="283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niezmienną transportochłonności układu przestrzennego;</w:t>
      </w:r>
    </w:p>
    <w:p w14:paraId="597AB370" w14:textId="77777777" w:rsidR="00EA60C5" w:rsidRPr="00C8068F" w:rsidRDefault="00EA60C5" w:rsidP="00EA60C5">
      <w:pPr>
        <w:pStyle w:val="ZLITPKT8211"/>
        <w:numPr>
          <w:ilvl w:val="0"/>
          <w:numId w:val="4"/>
        </w:numPr>
        <w:spacing w:line="276" w:lineRule="auto"/>
        <w:ind w:left="1276" w:hanging="283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wykorzystanie publicznego transportu zbiorowego jako podstawowego środka transportu na dotychczasowych zasadach;</w:t>
      </w:r>
    </w:p>
    <w:p w14:paraId="5342C83F" w14:textId="30898EA4" w:rsidR="00EA60C5" w:rsidRPr="00C8068F" w:rsidRDefault="00EA60C5" w:rsidP="00EA60C5">
      <w:pPr>
        <w:pStyle w:val="ZLITPKT8211"/>
        <w:numPr>
          <w:ilvl w:val="0"/>
          <w:numId w:val="4"/>
        </w:numPr>
        <w:spacing w:line="276" w:lineRule="auto"/>
        <w:ind w:left="1276" w:hanging="283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>zapewnianie rozwiązań przestrzennych, ułatwiających przemieszczanie się pieszych i rowerzystów istniejącymi drogami publicznymi oraz drogami wewnętrznymi;</w:t>
      </w:r>
    </w:p>
    <w:p w14:paraId="4408FCB1" w14:textId="79811E9E" w:rsidR="00EA60C5" w:rsidRPr="00C8068F" w:rsidRDefault="00EA60C5" w:rsidP="00EA60C5">
      <w:pPr>
        <w:pStyle w:val="ZLITPKT8211"/>
        <w:numPr>
          <w:ilvl w:val="0"/>
          <w:numId w:val="4"/>
        </w:numPr>
        <w:spacing w:line="276" w:lineRule="auto"/>
        <w:ind w:left="1276" w:hanging="283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planowanie i lokalizowanie nowej zabudowy na terenie położonym w obszarze o w pełni wykształconej zwartej strukturze funkcjonalno-przestrzennej, na terenie o już istniejącym zainwestowaniu wpłynie na rozwój </w:t>
      </w:r>
      <w:r w:rsidR="00652198">
        <w:rPr>
          <w:rFonts w:ascii="Times New Roman" w:hAnsi="Times New Roman" w:cs="Times New Roman"/>
          <w:sz w:val="20"/>
          <w:szCs w:val="20"/>
        </w:rPr>
        <w:t>gminy</w:t>
      </w:r>
      <w:r w:rsidRPr="00C8068F">
        <w:rPr>
          <w:rFonts w:ascii="Times New Roman" w:hAnsi="Times New Roman" w:cs="Times New Roman"/>
          <w:sz w:val="20"/>
          <w:szCs w:val="20"/>
        </w:rPr>
        <w:t>.</w:t>
      </w:r>
    </w:p>
    <w:p w14:paraId="27D2EA0B" w14:textId="77777777" w:rsidR="00EA60C5" w:rsidRPr="00C8068F" w:rsidRDefault="00EA60C5" w:rsidP="00EA60C5">
      <w:pPr>
        <w:pStyle w:val="Akapitzlist"/>
        <w:spacing w:after="0"/>
        <w:ind w:left="0"/>
        <w:rPr>
          <w:rFonts w:ascii="Times New Roman" w:hAnsi="Times New Roman" w:cs="Times New Roman"/>
          <w:sz w:val="20"/>
          <w:szCs w:val="20"/>
          <w:u w:val="single"/>
        </w:rPr>
      </w:pPr>
    </w:p>
    <w:p w14:paraId="6169765F" w14:textId="77777777" w:rsidR="00EA60C5" w:rsidRPr="00C8068F" w:rsidRDefault="00EA60C5" w:rsidP="00EA60C5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FFFFF" w:themeFill="background1"/>
        <w:spacing w:before="0" w:after="240"/>
        <w:ind w:left="426" w:hanging="426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8068F">
        <w:rPr>
          <w:rFonts w:ascii="Times New Roman" w:hAnsi="Times New Roman" w:cs="Times New Roman"/>
          <w:color w:val="auto"/>
          <w:sz w:val="20"/>
          <w:szCs w:val="20"/>
        </w:rPr>
        <w:t>Zgodność z wynikami analizy, o której mowa w art. 32 ust. 1, wraz datą uchwały rady gminy, o której mowa w art. 32 ust. 2</w:t>
      </w:r>
    </w:p>
    <w:p w14:paraId="25EEF434" w14:textId="3C753AE2" w:rsidR="00EA60C5" w:rsidRPr="00C8068F" w:rsidRDefault="00652198" w:rsidP="00EA60C5">
      <w:pPr>
        <w:jc w:val="both"/>
        <w:rPr>
          <w:rFonts w:ascii="Times New Roman" w:hAnsi="Times New Roman" w:cs="Times New Roman"/>
          <w:sz w:val="20"/>
          <w:szCs w:val="20"/>
        </w:rPr>
      </w:pPr>
      <w:r w:rsidRPr="00134B76">
        <w:rPr>
          <w:rFonts w:ascii="Times New Roman" w:hAnsi="Times New Roman" w:cs="Times New Roman"/>
          <w:sz w:val="20"/>
          <w:szCs w:val="20"/>
        </w:rPr>
        <w:t>Analiza zmian w zagospodarowaniu przestrzennym gminy Dąbrowa Chełmińska będąca załącznikiem do  uchwały nr XLVI.415.2018 Rady Gminy Dąbrowa Chełmińska z dnia 18 października 2018 r.  w sprawie oceny aktualności studium uwarunkowań i kierunków zagospodarowania przestrzennego gminy Dąbrowa Chełmińska oraz obowiązujących miejscowych planów zagospodarowania przestrzennego na obszarze gminy Dąbrowa Chełmińska</w:t>
      </w:r>
      <w:r>
        <w:rPr>
          <w:rFonts w:ascii="Times New Roman" w:hAnsi="Times New Roman" w:cs="Times New Roman"/>
          <w:sz w:val="20"/>
          <w:szCs w:val="20"/>
        </w:rPr>
        <w:t xml:space="preserve"> za okres od 01.09.2012 r. do 31.08.2018 r.</w:t>
      </w:r>
      <w:r w:rsidRPr="00134B76">
        <w:rPr>
          <w:rFonts w:ascii="Times New Roman" w:hAnsi="Times New Roman" w:cs="Times New Roman"/>
          <w:sz w:val="20"/>
          <w:szCs w:val="20"/>
        </w:rPr>
        <w:t xml:space="preserve"> uwzględnia docelowe, sukcesywne sporządzanie miejscowych planów zagospodarowania przestrzennego, zgodne z dotychczasową polityką przestrzenną i kierunkami wyznaczonymi i przyjętymi w studium uwarunkowań i kierunków zagospodarowania przestrzennego, a w razie potrzeby ich bieżącą aktualizację. Opracowanie przedmiotowego planu jest w pełni zgodne z wynikami ww. analizy</w:t>
      </w:r>
      <w:r w:rsidR="00EA60C5" w:rsidRPr="00C8068F">
        <w:rPr>
          <w:rFonts w:ascii="Times New Roman" w:hAnsi="Times New Roman" w:cs="Times New Roman"/>
          <w:sz w:val="20"/>
          <w:szCs w:val="20"/>
        </w:rPr>
        <w:t>.</w:t>
      </w:r>
    </w:p>
    <w:p w14:paraId="5B1B32A0" w14:textId="77777777" w:rsidR="00EA60C5" w:rsidRPr="00C8068F" w:rsidRDefault="00EA60C5" w:rsidP="00EA60C5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FFFFF" w:themeFill="background1"/>
        <w:spacing w:before="0" w:after="24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8068F">
        <w:rPr>
          <w:rFonts w:ascii="Times New Roman" w:hAnsi="Times New Roman" w:cs="Times New Roman"/>
          <w:color w:val="auto"/>
          <w:sz w:val="20"/>
          <w:szCs w:val="20"/>
        </w:rPr>
        <w:t xml:space="preserve">Wpływ na finanse publiczne, w tym budżet gminy </w:t>
      </w:r>
    </w:p>
    <w:p w14:paraId="3D7205C2" w14:textId="75281600" w:rsidR="00EA60C5" w:rsidRPr="00C8068F" w:rsidRDefault="00EA60C5" w:rsidP="00EA60C5">
      <w:pPr>
        <w:jc w:val="both"/>
        <w:rPr>
          <w:rFonts w:ascii="Times New Roman" w:hAnsi="Times New Roman" w:cs="Times New Roman"/>
          <w:sz w:val="20"/>
          <w:szCs w:val="20"/>
        </w:rPr>
      </w:pPr>
      <w:r w:rsidRPr="00C8068F">
        <w:rPr>
          <w:rFonts w:ascii="Times New Roman" w:hAnsi="Times New Roman" w:cs="Times New Roman"/>
          <w:sz w:val="20"/>
          <w:szCs w:val="20"/>
        </w:rPr>
        <w:t xml:space="preserve">Zgodnie z art. 17 pkt 5 ww. ustawy z dnia 27 marca 2003 r. o planowaniu i zagospodarowaniu przestrzennym (Dz. U. </w:t>
      </w:r>
      <w:r w:rsidR="00652198">
        <w:rPr>
          <w:rFonts w:ascii="Times New Roman" w:hAnsi="Times New Roman" w:cs="Times New Roman"/>
          <w:sz w:val="20"/>
          <w:szCs w:val="20"/>
        </w:rPr>
        <w:t xml:space="preserve">z </w:t>
      </w:r>
      <w:r w:rsidRPr="00C8068F">
        <w:rPr>
          <w:rFonts w:ascii="Times New Roman" w:hAnsi="Times New Roman" w:cs="Times New Roman"/>
          <w:sz w:val="20"/>
          <w:szCs w:val="20"/>
        </w:rPr>
        <w:t>202</w:t>
      </w:r>
      <w:r w:rsidR="008A5A2C">
        <w:rPr>
          <w:rFonts w:ascii="Times New Roman" w:hAnsi="Times New Roman" w:cs="Times New Roman"/>
          <w:sz w:val="20"/>
          <w:szCs w:val="20"/>
        </w:rPr>
        <w:t>3</w:t>
      </w:r>
      <w:r w:rsidRPr="00C8068F">
        <w:rPr>
          <w:rFonts w:ascii="Times New Roman" w:hAnsi="Times New Roman" w:cs="Times New Roman"/>
          <w:sz w:val="20"/>
          <w:szCs w:val="20"/>
        </w:rPr>
        <w:t xml:space="preserve"> r. poz. </w:t>
      </w:r>
      <w:r w:rsidR="008A5A2C">
        <w:rPr>
          <w:rFonts w:ascii="Times New Roman" w:hAnsi="Times New Roman" w:cs="Times New Roman"/>
          <w:sz w:val="20"/>
          <w:szCs w:val="20"/>
        </w:rPr>
        <w:t>977</w:t>
      </w:r>
      <w:r w:rsidRPr="00C8068F">
        <w:rPr>
          <w:rFonts w:ascii="Times New Roman" w:hAnsi="Times New Roman" w:cs="Times New Roman"/>
          <w:sz w:val="20"/>
          <w:szCs w:val="20"/>
        </w:rPr>
        <w:t>) na potrzeby projektu planu sporządzono prognozę skutków finansowych uchwalenia planu miejscowego.</w:t>
      </w:r>
    </w:p>
    <w:p w14:paraId="5A53B0F3" w14:textId="77777777" w:rsidR="00EA60C5" w:rsidRPr="00C8068F" w:rsidRDefault="00EA60C5" w:rsidP="00EA60C5">
      <w:pPr>
        <w:pStyle w:val="Akapitzlist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57B8536F" w14:textId="77777777" w:rsidR="00EA60C5" w:rsidRPr="00C8068F" w:rsidRDefault="00EA60C5" w:rsidP="00EA60C5">
      <w:pPr>
        <w:rPr>
          <w:rFonts w:ascii="Times New Roman" w:hAnsi="Times New Roman" w:cs="Times New Roman"/>
        </w:rPr>
      </w:pPr>
    </w:p>
    <w:p w14:paraId="1269043A" w14:textId="77777777" w:rsidR="001B2725" w:rsidRPr="00C8068F" w:rsidRDefault="001B2725">
      <w:pPr>
        <w:rPr>
          <w:rFonts w:ascii="Times New Roman" w:hAnsi="Times New Roman" w:cs="Times New Roman"/>
        </w:rPr>
      </w:pPr>
    </w:p>
    <w:sectPr w:rsidR="001B2725" w:rsidRPr="00C806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AFA57" w14:textId="77777777" w:rsidR="00FC2318" w:rsidRDefault="00FC2318" w:rsidP="00C8068F">
      <w:pPr>
        <w:spacing w:after="0" w:line="240" w:lineRule="auto"/>
      </w:pPr>
      <w:r>
        <w:separator/>
      </w:r>
    </w:p>
  </w:endnote>
  <w:endnote w:type="continuationSeparator" w:id="0">
    <w:p w14:paraId="0404D485" w14:textId="77777777" w:rsidR="00FC2318" w:rsidRDefault="00FC2318" w:rsidP="00C80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3071210"/>
      <w:docPartObj>
        <w:docPartGallery w:val="Page Numbers (Bottom of Page)"/>
        <w:docPartUnique/>
      </w:docPartObj>
    </w:sdtPr>
    <w:sdtEndPr/>
    <w:sdtContent>
      <w:p w14:paraId="5565BE83" w14:textId="77777777" w:rsidR="00A426CE" w:rsidRDefault="00212F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4A84BA" w14:textId="77777777" w:rsidR="00A426CE" w:rsidRDefault="00E11A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17838" w14:textId="77777777" w:rsidR="00FC2318" w:rsidRDefault="00FC2318" w:rsidP="00C8068F">
      <w:pPr>
        <w:spacing w:after="0" w:line="240" w:lineRule="auto"/>
      </w:pPr>
      <w:r>
        <w:separator/>
      </w:r>
    </w:p>
  </w:footnote>
  <w:footnote w:type="continuationSeparator" w:id="0">
    <w:p w14:paraId="386C83E0" w14:textId="77777777" w:rsidR="00FC2318" w:rsidRDefault="00FC2318" w:rsidP="00C80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6368A"/>
    <w:multiLevelType w:val="hybridMultilevel"/>
    <w:tmpl w:val="0AA6D894"/>
    <w:lvl w:ilvl="0" w:tplc="3BE06A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D000D"/>
    <w:multiLevelType w:val="hybridMultilevel"/>
    <w:tmpl w:val="EB9C84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8EC01C4">
      <w:start w:val="12"/>
      <w:numFmt w:val="decimal"/>
      <w:lvlText w:val="%4."/>
      <w:lvlJc w:val="left"/>
      <w:pPr>
        <w:ind w:left="3447" w:hanging="360"/>
      </w:pPr>
      <w:rPr>
        <w:rFonts w:hint="default"/>
        <w:color w:val="000000"/>
      </w:rPr>
    </w:lvl>
    <w:lvl w:ilvl="4" w:tplc="0C72AF56">
      <w:start w:val="1"/>
      <w:numFmt w:val="lowerLetter"/>
      <w:lvlText w:val="%5)"/>
      <w:lvlJc w:val="left"/>
      <w:pPr>
        <w:ind w:left="4167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EF439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EC64304"/>
    <w:multiLevelType w:val="hybridMultilevel"/>
    <w:tmpl w:val="D2FA4F58"/>
    <w:lvl w:ilvl="0" w:tplc="E86E71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2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5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6322D5"/>
    <w:multiLevelType w:val="hybridMultilevel"/>
    <w:tmpl w:val="ED569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A1466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760"/>
        </w:tabs>
        <w:ind w:left="760" w:hanging="363"/>
      </w:pPr>
    </w:lvl>
    <w:lvl w:ilvl="2">
      <w:start w:val="1"/>
      <w:numFmt w:val="lowerLetter"/>
      <w:lvlText w:val="%3)"/>
      <w:lvlJc w:val="left"/>
      <w:pPr>
        <w:tabs>
          <w:tab w:val="num" w:pos="1157"/>
        </w:tabs>
        <w:ind w:left="1157" w:hanging="363"/>
      </w:p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63"/>
      </w:pPr>
      <w:rPr>
        <w:rFonts w:ascii="Tahoma" w:hAnsi="Tahom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5DC06605"/>
    <w:multiLevelType w:val="hybridMultilevel"/>
    <w:tmpl w:val="15581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4250D"/>
    <w:multiLevelType w:val="hybridMultilevel"/>
    <w:tmpl w:val="2D1E28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059463">
    <w:abstractNumId w:val="2"/>
  </w:num>
  <w:num w:numId="2" w16cid:durableId="1236552561">
    <w:abstractNumId w:val="0"/>
  </w:num>
  <w:num w:numId="3" w16cid:durableId="1947730311">
    <w:abstractNumId w:val="7"/>
  </w:num>
  <w:num w:numId="4" w16cid:durableId="896362060">
    <w:abstractNumId w:val="4"/>
  </w:num>
  <w:num w:numId="5" w16cid:durableId="1725790056">
    <w:abstractNumId w:val="6"/>
  </w:num>
  <w:num w:numId="6" w16cid:durableId="1383409115">
    <w:abstractNumId w:val="1"/>
  </w:num>
  <w:num w:numId="7" w16cid:durableId="121046111">
    <w:abstractNumId w:val="5"/>
  </w:num>
  <w:num w:numId="8" w16cid:durableId="1788042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0C5"/>
    <w:rsid w:val="00155769"/>
    <w:rsid w:val="001B2725"/>
    <w:rsid w:val="00212F80"/>
    <w:rsid w:val="002A7D3F"/>
    <w:rsid w:val="003F684A"/>
    <w:rsid w:val="00556F55"/>
    <w:rsid w:val="00652198"/>
    <w:rsid w:val="006B2792"/>
    <w:rsid w:val="00703789"/>
    <w:rsid w:val="00880767"/>
    <w:rsid w:val="008A5A2C"/>
    <w:rsid w:val="00B429B9"/>
    <w:rsid w:val="00C743FE"/>
    <w:rsid w:val="00C8068F"/>
    <w:rsid w:val="00DD5C3B"/>
    <w:rsid w:val="00E11AE2"/>
    <w:rsid w:val="00EA60C5"/>
    <w:rsid w:val="00FC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E7969"/>
  <w15:chartTrackingRefBased/>
  <w15:docId w15:val="{9BE60DA9-C51D-4701-82CC-15EE70AB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0C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A60C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60C5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0C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60C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60C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60C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60C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60C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60C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60C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A60C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0C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60C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60C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60C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6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60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6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EA60C5"/>
    <w:pPr>
      <w:ind w:left="720"/>
      <w:contextualSpacing/>
    </w:pPr>
  </w:style>
  <w:style w:type="paragraph" w:customStyle="1" w:styleId="ZLITPKT8211">
    <w:name w:val="Z_LIT/PKT &amp;#8211"/>
    <w:aliases w:val="zm. pkt literą"/>
    <w:basedOn w:val="Normalny"/>
    <w:rsid w:val="00EA60C5"/>
    <w:pPr>
      <w:spacing w:after="0" w:line="360" w:lineRule="auto"/>
      <w:ind w:left="1497" w:hanging="510"/>
      <w:jc w:val="both"/>
    </w:pPr>
    <w:rPr>
      <w:rFonts w:ascii="Times" w:eastAsia="Times New Roman" w:hAnsi="Times" w:cs="Times"/>
      <w:sz w:val="24"/>
      <w:szCs w:val="24"/>
      <w:lang w:eastAsia="pl-PL"/>
    </w:rPr>
  </w:style>
  <w:style w:type="paragraph" w:customStyle="1" w:styleId="ZLITUST8211">
    <w:name w:val="Z_LIT/UST(§) &amp;#8211"/>
    <w:aliases w:val="zm. ust. (§) literą"/>
    <w:basedOn w:val="Normalny"/>
    <w:rsid w:val="00EA60C5"/>
    <w:pPr>
      <w:autoSpaceDE w:val="0"/>
      <w:autoSpaceDN w:val="0"/>
      <w:spacing w:after="0" w:line="360" w:lineRule="auto"/>
      <w:ind w:left="987" w:firstLine="510"/>
      <w:jc w:val="both"/>
    </w:pPr>
    <w:rPr>
      <w:rFonts w:ascii="Times" w:eastAsia="Times New Roman" w:hAnsi="Times" w:cs="Times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6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0C5"/>
  </w:style>
  <w:style w:type="paragraph" w:styleId="Tekstpodstawowy">
    <w:name w:val="Body Text"/>
    <w:basedOn w:val="Normalny"/>
    <w:link w:val="TekstpodstawowyZnak"/>
    <w:rsid w:val="00EA60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60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6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06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068F"/>
    <w:rPr>
      <w:vertAlign w:val="superscript"/>
    </w:rPr>
  </w:style>
  <w:style w:type="paragraph" w:customStyle="1" w:styleId="StylUchwaa1Wysunicie05cmZnakZnakZnakZnakZnakZnak">
    <w:name w:val="Styl Uchwała 1) + Wysunięcie:  05 cm Znak Znak Znak Znak Znak Znak"/>
    <w:basedOn w:val="Normalny"/>
    <w:rsid w:val="00C743FE"/>
    <w:pPr>
      <w:spacing w:after="0" w:line="240" w:lineRule="auto"/>
      <w:ind w:left="426" w:hanging="284"/>
      <w:jc w:val="both"/>
      <w:outlineLvl w:val="4"/>
    </w:pPr>
    <w:rPr>
      <w:rFonts w:ascii="Arial Narrow" w:eastAsia="Times New Roman" w:hAnsi="Arial Narrow" w:cs="Times New Roman"/>
      <w:color w:val="000000"/>
      <w:szCs w:val="24"/>
      <w:lang w:eastAsia="pl-PL"/>
    </w:rPr>
  </w:style>
  <w:style w:type="paragraph" w:customStyle="1" w:styleId="Tekstpodstawowy21">
    <w:name w:val="Tekst podstawowy 21"/>
    <w:basedOn w:val="Normalny"/>
    <w:rsid w:val="008A5A2C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1941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Kujath-Jaworska</dc:creator>
  <cp:keywords/>
  <dc:description/>
  <cp:lastModifiedBy>M Kopaczewska</cp:lastModifiedBy>
  <cp:revision>6</cp:revision>
  <dcterms:created xsi:type="dcterms:W3CDTF">2023-06-07T04:58:00Z</dcterms:created>
  <dcterms:modified xsi:type="dcterms:W3CDTF">2023-06-07T06:23:00Z</dcterms:modified>
</cp:coreProperties>
</file>